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E2451E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E2451E" w:rsidRDefault="00E2451E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E2451E">
              <w:rPr>
                <w:rFonts w:ascii="Arial" w:hAnsi="Arial" w:cs="Arial"/>
                <w:b/>
                <w:caps/>
                <w:sz w:val="32"/>
                <w:szCs w:val="72"/>
              </w:rPr>
              <w:t>T09 - TÉCNICO SEGURANÇA DO TRABALHO</w:t>
            </w:r>
            <w:r w:rsidR="000B4F58">
              <w:rPr>
                <w:rFonts w:ascii="Arial" w:hAnsi="Arial" w:cs="Arial"/>
                <w:b/>
                <w:caps/>
                <w:sz w:val="32"/>
                <w:szCs w:val="72"/>
              </w:rPr>
              <w:t xml:space="preserve"> – 30h</w:t>
            </w:r>
            <w:bookmarkStart w:id="0" w:name="_GoBack"/>
            <w:bookmarkEnd w:id="0"/>
          </w:p>
          <w:p w:rsidR="003B6CAA" w:rsidRPr="003641F2" w:rsidRDefault="003641F2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641F2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E2451E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E2451E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E2451E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E2451E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E2451E" w:rsidRDefault="00E2451E" w:rsidP="00E2451E">
      <w:pPr>
        <w:pStyle w:val="Disciplina"/>
        <w:keepNext/>
        <w:spacing w:before="0"/>
      </w:pPr>
      <w:r>
        <w:lastRenderedPageBreak/>
        <w:t xml:space="preserve">LÍNGUA PORTUGUESA 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2A0ABA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1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2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18"/>
          <w:szCs w:val="18"/>
        </w:rPr>
        <w:t>“</w:t>
      </w:r>
      <w:r w:rsidRPr="002A0ABA">
        <w:rPr>
          <w:rFonts w:asciiTheme="minorHAnsi" w:hAnsiTheme="minorHAnsi" w:cstheme="minorHAnsi"/>
          <w:sz w:val="20"/>
          <w:szCs w:val="20"/>
        </w:rPr>
        <w:t>pequenez” (1º parágrafo)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18"/>
          <w:szCs w:val="18"/>
        </w:rPr>
        <w:t>“</w:t>
      </w:r>
      <w:r w:rsidRPr="002A0ABA">
        <w:rPr>
          <w:rFonts w:asciiTheme="minorHAnsi" w:hAnsiTheme="minorHAnsi" w:cstheme="minorHAnsi"/>
          <w:sz w:val="20"/>
          <w:szCs w:val="20"/>
        </w:rPr>
        <w:t>ferramentas” (2º parágrafo)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18"/>
          <w:szCs w:val="18"/>
        </w:rPr>
        <w:t>“</w:t>
      </w:r>
      <w:r w:rsidRPr="002A0ABA">
        <w:rPr>
          <w:rFonts w:asciiTheme="minorHAnsi" w:hAnsiTheme="minorHAnsi" w:cstheme="minorHAnsi"/>
          <w:sz w:val="20"/>
          <w:szCs w:val="20"/>
        </w:rPr>
        <w:t>comida” (4º parágrafo)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18"/>
          <w:szCs w:val="18"/>
        </w:rPr>
        <w:t>“</w:t>
      </w:r>
      <w:r w:rsidRPr="002A0ABA">
        <w:rPr>
          <w:rFonts w:asciiTheme="minorHAnsi" w:hAnsiTheme="minorHAnsi" w:cstheme="minorHAnsi"/>
          <w:sz w:val="20"/>
          <w:szCs w:val="20"/>
        </w:rPr>
        <w:t>ingenuidade” (6º parágrafo)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18"/>
          <w:szCs w:val="18"/>
        </w:rPr>
        <w:t>“</w:t>
      </w:r>
      <w:r w:rsidRPr="002A0ABA">
        <w:rPr>
          <w:rFonts w:asciiTheme="minorHAnsi" w:hAnsiTheme="minorHAnsi" w:cstheme="minorHAnsi"/>
          <w:sz w:val="20"/>
          <w:szCs w:val="20"/>
        </w:rPr>
        <w:t>estirada” (6º parágrafo)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3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4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2A0ABA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nitidez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escassez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rispidez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5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2A0ABA" w:rsidRDefault="00E2451E" w:rsidP="00E2451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E2451E" w:rsidRPr="002A0ABA" w:rsidRDefault="00E2451E" w:rsidP="00E2451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E2451E" w:rsidRPr="002A0ABA" w:rsidRDefault="00E2451E" w:rsidP="00E2451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E2451E" w:rsidRPr="002A0ABA" w:rsidRDefault="00E2451E" w:rsidP="00E2451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E2451E" w:rsidRPr="002A0ABA" w:rsidRDefault="00E2451E" w:rsidP="00E2451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2A0ABA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E2451E" w:rsidRPr="002A0ABA" w:rsidRDefault="00E2451E" w:rsidP="00E2451E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2A0ABA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2A0ABA">
        <w:rPr>
          <w:rFonts w:asciiTheme="minorHAnsi" w:hAnsiTheme="minorHAnsi" w:cstheme="minorHAnsi"/>
          <w:sz w:val="20"/>
          <w:szCs w:val="20"/>
        </w:rPr>
        <w:t>: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E2451E" w:rsidRPr="002A0ABA" w:rsidRDefault="00E2451E" w:rsidP="00E2451E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E2451E" w:rsidRPr="002A0ABA" w:rsidRDefault="00E2451E" w:rsidP="00E2451E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6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2A0ABA">
        <w:rPr>
          <w:rFonts w:asciiTheme="minorHAnsi" w:hAnsiTheme="minorHAnsi" w:cstheme="minorHAnsi"/>
          <w:sz w:val="20"/>
          <w:szCs w:val="20"/>
        </w:rPr>
        <w:t> que eu não viajo.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Cem metros é muito.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7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8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71DFA2B0" wp14:editId="2B71345F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graúna - androide;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 xml:space="preserve">ideia </w:t>
      </w:r>
      <w:r w:rsidRPr="002A0ABA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2A0ABA">
        <w:rPr>
          <w:rFonts w:asciiTheme="minorHAnsi" w:hAnsiTheme="minorHAnsi" w:cstheme="minorHAnsi"/>
          <w:sz w:val="20"/>
          <w:szCs w:val="20"/>
        </w:rPr>
        <w:t>heróis;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A0ABA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2A0ABA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2A0ABA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2A0ABA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9</w:t>
      </w:r>
      <w:proofErr w:type="gramEnd"/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2A0ABA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2A0ABA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2A0ABA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10</w:t>
      </w:r>
    </w:p>
    <w:p w:rsidR="00E2451E" w:rsidRPr="002A0ABA" w:rsidRDefault="00E2451E" w:rsidP="00E2451E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2A0ABA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E2451E" w:rsidRPr="002A0ABA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E2451E" w:rsidRPr="002A0ABA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A0ABA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2A0ABA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2A0ABA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2A0ABA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E2451E" w:rsidRPr="002A0ABA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952EC0" w:rsidRDefault="00E2451E" w:rsidP="00E2451E">
      <w:pPr>
        <w:pStyle w:val="Enunciado"/>
        <w:rPr>
          <w:rFonts w:asciiTheme="minorHAnsi" w:hAnsiTheme="minorHAnsi"/>
          <w:sz w:val="20"/>
          <w:szCs w:val="20"/>
        </w:rPr>
      </w:pPr>
    </w:p>
    <w:p w:rsidR="00E2451E" w:rsidRDefault="00E2451E" w:rsidP="00E2451E">
      <w:pPr>
        <w:pStyle w:val="Disciplina"/>
        <w:keepNext/>
        <w:spacing w:before="0"/>
      </w:pPr>
      <w:r>
        <w:br w:type="column"/>
      </w:r>
      <w:r>
        <w:lastRenderedPageBreak/>
        <w:t xml:space="preserve">CONHECIMENTOS DO SISTEMA ÚNICO DE SAÚDE </w:t>
      </w:r>
      <w:r w:rsidR="003641F2">
        <w:t>(SUS) /</w:t>
      </w:r>
      <w:r>
        <w:t xml:space="preserve"> SAÚDE COLETIVA</w:t>
      </w: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11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12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3A3FB1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3A3FB1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3A3FB1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2451E" w:rsidRPr="003A3FB1" w:rsidRDefault="003641F2" w:rsidP="00E2451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E2451E" w:rsidRPr="003A3FB1">
        <w:rPr>
          <w:rFonts w:asciiTheme="minorHAnsi" w:hAnsiTheme="minorHAnsi" w:cstheme="minorHAnsi"/>
          <w:sz w:val="20"/>
          <w:szCs w:val="20"/>
        </w:rPr>
        <w:t xml:space="preserve">) </w:t>
      </w:r>
      <w:r w:rsidR="00E2451E" w:rsidRPr="003A3FB1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3A3FB1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3A3FB1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3A3FB1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3A3FB1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3A3FB1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3A3FB1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3A3FB1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3A3FB1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3A3FB1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3A3FB1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3A3FB1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3A3FB1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3A3FB1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3A3FB1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3A3FB1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3A3FB1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3A3FB1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3A3FB1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3A3FB1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641F2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3641F2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3641F2">
        <w:rPr>
          <w:rFonts w:asciiTheme="minorHAnsi" w:hAnsiTheme="minorHAnsi" w:cstheme="minorHAnsi"/>
          <w:sz w:val="20"/>
          <w:szCs w:val="20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V,V,V,F,V.</w:t>
      </w:r>
    </w:p>
    <w:p w:rsidR="00E2451E" w:rsidRPr="003641F2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13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3A3FB1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641F2">
        <w:rPr>
          <w:rFonts w:asciiTheme="minorHAnsi" w:hAnsiTheme="minorHAnsi" w:cstheme="minorHAnsi"/>
          <w:sz w:val="18"/>
          <w:szCs w:val="18"/>
        </w:rPr>
        <w:t>(D</w:t>
      </w:r>
      <w:proofErr w:type="gramStart"/>
      <w:r w:rsidRPr="003641F2">
        <w:rPr>
          <w:rFonts w:asciiTheme="minorHAnsi" w:hAnsiTheme="minorHAnsi" w:cstheme="minorHAnsi"/>
          <w:sz w:val="18"/>
          <w:szCs w:val="18"/>
        </w:rPr>
        <w:t>)</w:t>
      </w:r>
      <w:proofErr w:type="gramEnd"/>
      <w:r w:rsidRPr="003641F2">
        <w:rPr>
          <w:rFonts w:asciiTheme="minorHAnsi" w:hAnsiTheme="minorHAnsi" w:cstheme="minorHAnsi"/>
          <w:sz w:val="18"/>
          <w:szCs w:val="18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14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15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evento sentinela;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vigilância ambiental;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>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16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17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18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3A3FB1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3A3FB1">
        <w:rPr>
          <w:rFonts w:asciiTheme="minorHAnsi" w:hAnsiTheme="minorHAnsi" w:cstheme="minorHAnsi"/>
          <w:sz w:val="20"/>
          <w:szCs w:val="20"/>
        </w:rPr>
        <w:t>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19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20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21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22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23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24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3A3FB1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3A3FB1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valorização social;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vigilância em saúde.</w:t>
      </w:r>
    </w:p>
    <w:p w:rsidR="00E2451E" w:rsidRPr="003A3FB1" w:rsidRDefault="00E2451E" w:rsidP="00E2451E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E2451E" w:rsidRPr="003A3FB1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25</w:t>
      </w:r>
    </w:p>
    <w:p w:rsidR="00E2451E" w:rsidRPr="003A3FB1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E2451E" w:rsidRPr="003A3FB1" w:rsidRDefault="00E2451E" w:rsidP="00E2451E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E2451E" w:rsidRPr="003A3FB1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A3FB1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3A3FB1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3A3FB1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3A3FB1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3641F2" w:rsidRDefault="003641F2" w:rsidP="00E2451E">
      <w:pPr>
        <w:pStyle w:val="Disciplina"/>
        <w:keepNext/>
        <w:spacing w:before="0"/>
      </w:pPr>
    </w:p>
    <w:p w:rsidR="003641F2" w:rsidRDefault="003641F2" w:rsidP="003641F2">
      <w:pPr>
        <w:pStyle w:val="Disciplina"/>
        <w:keepNext/>
        <w:spacing w:before="0"/>
      </w:pPr>
      <w:r>
        <w:t>CONHECIMENTOS ESPECÍFICOS</w:t>
      </w: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 segurança do trabalho é fundamental para prevenir acidentes e garantir a saúde ocupacional dos trabalhadores e apresenta como objetivos: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de acidentes de trabalho e promoção da saúde física;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promoção da saúde ocupacional e conformidade com a legislação em saúde;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de doenças ocupacionais e de acidentes de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diagnóstico situacional e reabilitação;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promoção da saúde mental e prevenção de acidentes.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 xml:space="preserve">As normas regulamentadoras que determinam a formação dos Serviços Especializados em Engenharia de Segurança e em Medicina do Trabalho e a Comissão Interna de Prevenção de Acidentes são: 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NR-4 e NR-6;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NR-3 e NR-5;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NR-7 e NR-4;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NR-8 e NR-9;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NR-4 e NR-5.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 NR-7 estabelece as diretrizes dos Programas de Controle Médico de Saúde Ocupacional, definindo exames obrigatórios para os trabalhadores. São eles: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admissional, periódico, retorno ao trabalho, mudança de função e </w:t>
      </w:r>
      <w:proofErr w:type="spellStart"/>
      <w:r w:rsidRPr="000B4F58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0B4F58">
        <w:rPr>
          <w:rFonts w:asciiTheme="minorHAnsi" w:hAnsiTheme="minorHAnsi" w:cstheme="minorHAnsi"/>
          <w:sz w:val="20"/>
          <w:szCs w:val="20"/>
        </w:rPr>
        <w:t>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admissional, preventivo, retorno ao trabalho, mudança de função e </w:t>
      </w:r>
      <w:proofErr w:type="spellStart"/>
      <w:r w:rsidRPr="000B4F58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0B4F58">
        <w:rPr>
          <w:rFonts w:asciiTheme="minorHAnsi" w:hAnsiTheme="minorHAnsi" w:cstheme="minorHAnsi"/>
          <w:sz w:val="20"/>
          <w:szCs w:val="20"/>
        </w:rPr>
        <w:t>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admissional, periódico, licença remunerada, mudança de função e </w:t>
      </w:r>
      <w:proofErr w:type="spellStart"/>
      <w:r w:rsidRPr="000B4F58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0B4F58">
        <w:rPr>
          <w:rFonts w:asciiTheme="minorHAnsi" w:hAnsiTheme="minorHAnsi" w:cstheme="minorHAnsi"/>
          <w:sz w:val="20"/>
          <w:szCs w:val="20"/>
        </w:rPr>
        <w:t>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admissional, periódico, retorno ao trabalho, progressão funcional e </w:t>
      </w:r>
      <w:proofErr w:type="spellStart"/>
      <w:r w:rsidRPr="000B4F58">
        <w:rPr>
          <w:rFonts w:asciiTheme="minorHAnsi" w:hAnsiTheme="minorHAnsi" w:cstheme="minorHAnsi"/>
          <w:sz w:val="20"/>
          <w:szCs w:val="20"/>
        </w:rPr>
        <w:t>demissional</w:t>
      </w:r>
      <w:proofErr w:type="spellEnd"/>
      <w:r w:rsidRPr="000B4F58">
        <w:rPr>
          <w:rFonts w:asciiTheme="minorHAnsi" w:hAnsiTheme="minorHAnsi" w:cstheme="minorHAnsi"/>
          <w:sz w:val="20"/>
          <w:szCs w:val="20"/>
        </w:rPr>
        <w:t>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admissional, periódico, retorno ao trabalho, mudança de função e prêmio incentivo.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São funções da Segurança do Trabalho na empresa: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zelar pela integridade física dos trabalhadores;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analisar as condições do ambiente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minimizar o número de acidentes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propor ações </w:t>
      </w:r>
      <w:proofErr w:type="spellStart"/>
      <w:r w:rsidRPr="000B4F58">
        <w:rPr>
          <w:rFonts w:asciiTheme="minorHAnsi" w:hAnsiTheme="minorHAnsi" w:cstheme="minorHAnsi"/>
          <w:sz w:val="20"/>
          <w:szCs w:val="20"/>
        </w:rPr>
        <w:t>prevencionistas</w:t>
      </w:r>
      <w:proofErr w:type="spellEnd"/>
      <w:r w:rsidRPr="000B4F58">
        <w:rPr>
          <w:rFonts w:asciiTheme="minorHAnsi" w:hAnsiTheme="minorHAnsi" w:cstheme="minorHAnsi"/>
          <w:sz w:val="20"/>
          <w:szCs w:val="20"/>
        </w:rPr>
        <w:t>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todas as alternativas acima estão corretas.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E2451E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 NR-20 define tópicos essenciais para a parte prática da capacitação dos trabalhadores. Analise as assertivas abaixo e marque a opção correta.</w:t>
      </w:r>
    </w:p>
    <w:p w:rsidR="000B4F58" w:rsidRPr="000B4F58" w:rsidRDefault="000B4F58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I – Treinamento para uso dos extintores de incêndio para princípios de incêndio;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II – Procedimentos para resposta a emergência da instalação;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III – Procedimentos para o uso do sistema de alarme de incêndio;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IV – Procedimentos para abandono de área em caso de emergência;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V – Procedimentos para informar a ocorrência de emergência ao setor responsável, incluindo informação de pessoas que demandem primeiros socorros.</w:t>
      </w:r>
    </w:p>
    <w:p w:rsidR="000B4F58" w:rsidRPr="000B4F58" w:rsidRDefault="000B4F58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I, II, IV e V estão corretas.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I, II, III e V estão corretas.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II, III, IV e V estão corretas.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I, III, IV e V estão corretas.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I, II, III e IV estão corretas.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Sobre a NR-32 é correto afirmar: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tem por finalidade estabelecer as diretrizes básicas para a implementação de medidas de proteção à segurança e à saúde dos trabalhadores da construção civil;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considera Risco Biológico como a probabilidade da exposição ocupacional a agentes biológicos;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orienta que o uso de luvas substitui o processo de lavagem das mãos;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autoriza o consumo de alimentos e bebidas nos postos de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autoriza o uso de adornos e o manuseio de lentes de contato nos postos de trabalho.</w:t>
      </w: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O Programa de Gerenciamento de Riscos é organizado em estágios ou etapas, com a finalidade de identificar, analisar, avaliar e tratar os riscos existentes nos diversos ambientes de trabalho de uma empresa. Sobre o tema, assinale a alternativa correta: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 estágio 5 monitora os resultados para manter o controle constante sobre os riscos;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 estágio 1 analisa e avalia os riscos existentes;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o estágio 3 aplica medidas para tratar os riscos eliminando ou reduzindo; 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 estágio 2 identifica os riscos presentes na empresa;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 estágio 4 define medidas de proteção aos trabalhadores.</w:t>
      </w: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Assinale a alternativa que contém todos os profissionais que integram o SESMT: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do trabalho, enfermeiro de segurança do trabalho e auxiliar em enfermagem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do trabalho, enfermeiro de segurança do trabalho e gerente de produção;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técnico em meio ambiente, técnico de segurança do trabalho, engenheiro de segurança do trabalho e médico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ab/>
        <w:t xml:space="preserve">técnico em meio ambiente, técnico de segurança do trabalho, engenheiro de segurança do trabalho e </w:t>
      </w:r>
      <w:r w:rsidR="000B4F58">
        <w:rPr>
          <w:rFonts w:asciiTheme="minorHAnsi" w:hAnsiTheme="minorHAnsi" w:cstheme="minorHAnsi"/>
          <w:sz w:val="20"/>
          <w:szCs w:val="20"/>
        </w:rPr>
        <w:t>enfermeiro</w:t>
      </w:r>
      <w:r w:rsidRPr="000B4F58">
        <w:rPr>
          <w:rFonts w:asciiTheme="minorHAnsi" w:hAnsiTheme="minorHAnsi" w:cstheme="minorHAnsi"/>
          <w:sz w:val="20"/>
          <w:szCs w:val="20"/>
        </w:rPr>
        <w:t xml:space="preserve">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técnico de segurança do trabalho, engenheiro de segurança do trabalho, médico clínico geral, enfermeiro de segurança do trabalho e auxiliar em enfermagem do trabalho.</w:t>
      </w:r>
    </w:p>
    <w:p w:rsidR="000B4F58" w:rsidRDefault="000B4F58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0B4F58" w:rsidRDefault="000B4F58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0B4F58" w:rsidRDefault="000B4F58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São critérios para seleção de brigadistas: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permanecer de sobreaviso durante seu turno de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possuir boa condição financeira e boa saúde;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possuir bom conhecimento das instalações da planta;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ter mais de 14 anos de idade;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saber ler e escrever.</w:t>
      </w: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Sobre os termos e definições apresentados na NBR14276/2020 é correto afirmar que: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bombeiro é profissional capacitado para atuação em serviços de prevenção e de atendimento de emergências em edificações, plantas e/ou instalações privadas ou públicas de acordo com a legislação vigente;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instrutor auxiliar é o profissional com conhecimento e experiência prática sobre o tema do treinamento que ele presta auxílio ao instrutor principal, durante as aulas e exercícios práticos;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instrutor em emergências com produtos perigosos é o profissional com capacitação em prevenção e combate a incêndio e abandono de área, capacitado em técnicas de ensino;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instrutor em salvamento é o profissional com capacitação em atendimento de emergência pré-hospitalares, capacitado em técnicas de ensino;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instrutor em emergências médicas é o profissional com capacitação em emergências com produtos perigosos, capacitado em técnicas de ensino.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 xml:space="preserve">De acordo com a NBR15219, a elaboração do plano de emergência contra incêndio é realizada por uma equipe </w:t>
      </w:r>
      <w:proofErr w:type="gramStart"/>
      <w:r w:rsidRPr="000B4F58">
        <w:rPr>
          <w:rFonts w:asciiTheme="minorHAnsi" w:hAnsiTheme="minorHAnsi" w:cstheme="minorHAnsi"/>
          <w:sz w:val="20"/>
          <w:szCs w:val="20"/>
        </w:rPr>
        <w:t>multidisciplinar liderados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 xml:space="preserve"> por: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médico da família enfermeiro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engenheiro de segurança do trabalho e cirurgião dentista;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técnico de segurança do trabalho e enfermeiro auditor;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brigadista e engenheiro civil.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um ou mais profissionais especializados.</w:t>
      </w: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Uma das atividades desempenhadas pelo técnico de segurança do trabalho é: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investigação e análises de riscos;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gestão dos equipamentos de proteção individual;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análise financeira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inspeção de acidentes;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participação na comissão de saúde.</w:t>
      </w: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Os agentes de ameaças existentes dividem-se em: agentes biológicos, físicos, ergonômicos e químicos. Sobre o tema é correto afirmar: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os agentes biológicos são condições físicas indesejáveis ao trabalhador, sendo elas anormais e fora das normas regulamentadoras permitidas;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os agentes ergonômicos são condições não apropriadas aos trabalhadores nos postos de trabalho, causando dores musculares ou outros desgastes físicos ou desgastes emocionais;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os agentes físicos são, por exemplo, fungos, bactérias e outros elementos biológicos que podem estar dispersos no ambiente de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os agentes humanos são responsáveis pela utilização incorreta de produtos ou substâncias químicas;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os agentes químicos são utilizados para a limpeza e higienização do ambiente de trabalho.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Assinale a alternativa que contém as causas formadoras do hexágono de causas do erro humano: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falta de carisma e falta de motivação;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falta de sorte e falta de atenção;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falta de capacidade e falta de aptidão física ou mental;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falta de verba e falta de informação/formação;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falta de confiança e condições ergonômicas inadequadas.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40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Sabendo sobre os erros humanos, assinale a alternativa que apresenta exemplos decorrentes dessa característica: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jornada prolongada; poeiras minerais;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névoas; acionar tecla errada;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utilização de um equipamento inadequado; temperatura excessiva;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radiações não ionizantes; névoa;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errar a seleção de um material; acionar tecla errada.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 xml:space="preserve">No ano de 2022 o escopo da NR </w:t>
      </w:r>
      <w:proofErr w:type="gramStart"/>
      <w:r w:rsidRPr="000B4F58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 xml:space="preserve"> que trata da CIPA foi alterado, determinando que as empresas adotem medidas para: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e combate ao assédio sexual;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às infecções sexualmente transmissíveis;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e combate às lesões por esforço repetitivo;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ao câncer de pele;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prevenção e combate a incêndios.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 xml:space="preserve">O número de integrantes da CIPA definido na NR </w:t>
      </w:r>
      <w:proofErr w:type="gramStart"/>
      <w:r w:rsidRPr="000B4F58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 xml:space="preserve"> é de acordo com: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 quantia de funcionários mulheres e o ramo de atividade;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 quantia de funcionários e o perfil dos clientes;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 quantia de funcionários e o ramo de atividade;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 quantia de funcionários com deficiência e a natureza do trabalho;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 quantia de funcionários e o local de instalação da empresa;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 NR 12 refere-se 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requisitos mínimos para a prevenção de acidentes e doenças do trabalho nas fases de projeto e de utilização de máquinas e equipamentos;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regras para a fabricação, importação, comercialização, exposição e cessão de máquinas e equipamentos;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máquinas e equipamentos novos;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máquinas e equipamentos importados;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máquinas e equipamentos movidos ou impulsionados por força humana ou animal.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Em conformidade com a NR 12 os dispositivos de partida, acionamento e parada das máquinas devem ser projetados, selecionados e instalados de modo que: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se localizem em suas zonas perigosas;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dificulte-se a fraude;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acionados ou desligados em caso de emergência pelo operador;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acionamento por meio remoto seja permitido;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utilizem baterias de reserva para acionamento.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 xml:space="preserve">A Norma Regulamentadora que “estabelece os requisitos e condições mínimas objetivando a </w:t>
      </w:r>
      <w:proofErr w:type="gramStart"/>
      <w:r w:rsidRPr="000B4F58">
        <w:rPr>
          <w:rFonts w:asciiTheme="minorHAnsi" w:hAnsiTheme="minorHAnsi" w:cstheme="minorHAnsi"/>
          <w:sz w:val="20"/>
          <w:szCs w:val="20"/>
        </w:rPr>
        <w:t>implementação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 xml:space="preserve"> de medidas de controle e sistemas preventivos, de forma a garantir a segurança e a saúde dos trabalhadores que, direta ou indiretamente, interajam em instalações elétricas e serviços com eletricidade” é 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 26;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 12;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 32;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 10;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NR 5.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 xml:space="preserve">A intervenção em situações de emergência nuclear ou radiológica deve ser baseada em níveis de intervenção e de ação adotados com o objetivo de nortear a </w:t>
      </w:r>
      <w:proofErr w:type="gramStart"/>
      <w:r w:rsidRPr="000B4F58">
        <w:rPr>
          <w:rFonts w:asciiTheme="minorHAnsi" w:hAnsiTheme="minorHAnsi" w:cstheme="minorHAnsi"/>
          <w:sz w:val="20"/>
          <w:szCs w:val="20"/>
        </w:rPr>
        <w:t>implementação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 xml:space="preserve"> das diversas medidas de proteção propostas para evitar ou reduzir a exposição da população à radiação. São ações protetoras imediatas: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profilaxia por alumínio;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retenção;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B4F58">
        <w:rPr>
          <w:rFonts w:asciiTheme="minorHAnsi" w:hAnsiTheme="minorHAnsi" w:cstheme="minorHAnsi"/>
          <w:sz w:val="20"/>
          <w:szCs w:val="20"/>
        </w:rPr>
        <w:t>abrigagem</w:t>
      </w:r>
      <w:proofErr w:type="spellEnd"/>
      <w:r w:rsidRPr="000B4F58">
        <w:rPr>
          <w:rFonts w:asciiTheme="minorHAnsi" w:hAnsiTheme="minorHAnsi" w:cstheme="minorHAnsi"/>
          <w:sz w:val="20"/>
          <w:szCs w:val="20"/>
        </w:rPr>
        <w:t>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filtração;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sinalização.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São exemplos de Equipamentos de Proteção Individual utilizados pelos trabalhadores do setor saúde de forma rotineira: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capacete de segurança;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máscaras com filtros mecânicos;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chancas;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Protetores de punho;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óculos.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lastRenderedPageBreak/>
        <w:t>Questão 48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Em relação ao emprego das cores de sinalização de segurança nos ambientes fabris, assinale a alternativa correta.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Canalizações de ar comprimido são indicadas pela cor preta.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Canalizações de água são indicadas pela cor verde.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Botões de arranque de segurança são indicados pela cor vermelha.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Localização de bebedouros é indicada pela cor púrpura.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 xml:space="preserve">Caixa de alarme de incêndio é indicada pela cor amarela. 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Faça a correspondência correta e analise a alternativa correta.</w:t>
      </w:r>
    </w:p>
    <w:p w:rsidR="003641F2" w:rsidRPr="000B4F58" w:rsidRDefault="003641F2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(1) Vermelho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(2) Amarelo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(3) Azul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(4) Verde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(5) Laranja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0B4F5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>) Avisos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0B4F5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>) Perigo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0B4F5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>) Atenção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0B4F5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>) Cuidado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0B4F58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0B4F58">
        <w:rPr>
          <w:rFonts w:asciiTheme="minorHAnsi" w:hAnsiTheme="minorHAnsi" w:cstheme="minorHAnsi"/>
          <w:sz w:val="20"/>
          <w:szCs w:val="20"/>
        </w:rPr>
        <w:t>) Segurança</w:t>
      </w:r>
    </w:p>
    <w:p w:rsidR="003641F2" w:rsidRPr="000B4F58" w:rsidRDefault="003641F2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3,1,5,2,4.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4,5,1,2,3.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1,3,5,4,2.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2,4,5,3,1.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3,1,4,2,5.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2451E" w:rsidRPr="000B4F58" w:rsidRDefault="00E2451E" w:rsidP="00E2451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B4F58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E2451E" w:rsidRPr="000B4F58" w:rsidRDefault="00E2451E" w:rsidP="00E2451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</w:rPr>
        <w:t>A sinalização de alerta deve ser apresentada na forma:</w:t>
      </w:r>
    </w:p>
    <w:p w:rsidR="00E2451E" w:rsidRPr="000B4F58" w:rsidRDefault="00E2451E" w:rsidP="00E2451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quadrada;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retangular;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triangular;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arredondada;</w:t>
      </w:r>
    </w:p>
    <w:p w:rsidR="00E2451E" w:rsidRPr="000B4F58" w:rsidRDefault="00E2451E" w:rsidP="00E2451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B4F5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B4F5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B4F5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B4F58">
        <w:rPr>
          <w:rFonts w:asciiTheme="minorHAnsi" w:hAnsiTheme="minorHAnsi" w:cstheme="minorHAnsi"/>
          <w:sz w:val="20"/>
          <w:szCs w:val="20"/>
        </w:rPr>
        <w:t>esférica.</w:t>
      </w:r>
    </w:p>
    <w:p w:rsidR="00E2451E" w:rsidRPr="000B4F58" w:rsidRDefault="00E2451E" w:rsidP="00E2451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E2451E" w:rsidRPr="000B4F58" w:rsidSect="00E2451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265" w:rsidRDefault="005C4265" w:rsidP="00F24D13">
      <w:pPr>
        <w:spacing w:before="0" w:after="0"/>
      </w:pPr>
      <w:r>
        <w:separator/>
      </w:r>
    </w:p>
  </w:endnote>
  <w:endnote w:type="continuationSeparator" w:id="0">
    <w:p w:rsidR="005C4265" w:rsidRDefault="005C4265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1E" w:rsidRDefault="00E2451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1E" w:rsidRDefault="00E2451E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5C4265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E2451E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SEGURANÇA DO TRABALHO</w:t>
          </w:r>
        </w:p>
      </w:tc>
      <w:tc>
        <w:tcPr>
          <w:tcW w:w="209" w:type="pct"/>
        </w:tcPr>
        <w:p w:rsidR="00B20B48" w:rsidRPr="00B20B48" w:rsidRDefault="005C4265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E2451E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0B4F58">
            <w:rPr>
              <w:noProof/>
              <w:sz w:val="16"/>
            </w:rPr>
            <w:t>2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5C4265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5C426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265" w:rsidRDefault="005C4265" w:rsidP="00F24D13">
      <w:pPr>
        <w:spacing w:before="0" w:after="0"/>
      </w:pPr>
      <w:r>
        <w:separator/>
      </w:r>
    </w:p>
  </w:footnote>
  <w:footnote w:type="continuationSeparator" w:id="0">
    <w:p w:rsidR="005C4265" w:rsidRDefault="005C4265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1E" w:rsidRDefault="00E2451E">
    <w:pPr>
      <w:pStyle w:val="Cabealho"/>
    </w:pPr>
  </w:p>
  <w:p w:rsidR="00E2451E" w:rsidRDefault="00E2451E">
    <w:pPr>
      <w:pStyle w:val="Cabealho"/>
    </w:pPr>
  </w:p>
  <w:p w:rsidR="00E2451E" w:rsidRDefault="00E2451E">
    <w:pPr>
      <w:pStyle w:val="Cabealho"/>
    </w:pPr>
  </w:p>
  <w:p w:rsidR="00E2451E" w:rsidRDefault="00E2451E">
    <w:pPr>
      <w:pStyle w:val="Cabealho"/>
    </w:pPr>
  </w:p>
  <w:p w:rsidR="00E2451E" w:rsidRDefault="00E2451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1E" w:rsidRDefault="00E2451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1E" w:rsidRDefault="00E2451E">
    <w:pPr>
      <w:pStyle w:val="Cabealho"/>
    </w:pPr>
  </w:p>
  <w:p w:rsidR="00E2451E" w:rsidRDefault="00E2451E">
    <w:pPr>
      <w:pStyle w:val="Cabealho"/>
    </w:pPr>
  </w:p>
  <w:p w:rsidR="00E2451E" w:rsidRDefault="00E2451E">
    <w:pPr>
      <w:pStyle w:val="Cabealho"/>
    </w:pPr>
  </w:p>
  <w:p w:rsidR="00E2451E" w:rsidRDefault="00E2451E">
    <w:pPr>
      <w:pStyle w:val="Cabealho"/>
    </w:pPr>
  </w:p>
  <w:p w:rsidR="00E2451E" w:rsidRDefault="00E2451E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51E" w:rsidRDefault="00E2451E">
    <w:pPr>
      <w:pStyle w:val="Cabealho"/>
      <w:rPr>
        <w:sz w:val="16"/>
      </w:rPr>
    </w:pPr>
  </w:p>
  <w:p w:rsidR="00E2451E" w:rsidRDefault="00E2451E">
    <w:pPr>
      <w:pStyle w:val="Cabealho"/>
      <w:rPr>
        <w:sz w:val="16"/>
      </w:rPr>
    </w:pPr>
  </w:p>
  <w:p w:rsidR="00E2451E" w:rsidRDefault="00E2451E">
    <w:pPr>
      <w:pStyle w:val="Cabealho"/>
      <w:rPr>
        <w:sz w:val="16"/>
      </w:rPr>
    </w:pPr>
  </w:p>
  <w:p w:rsidR="00E2451E" w:rsidRDefault="00E2451E">
    <w:pPr>
      <w:pStyle w:val="Cabealho"/>
      <w:rPr>
        <w:sz w:val="16"/>
      </w:rPr>
    </w:pPr>
  </w:p>
  <w:p w:rsidR="00E2451E" w:rsidRDefault="00E2451E">
    <w:pPr>
      <w:pStyle w:val="Cabealho"/>
      <w:rPr>
        <w:sz w:val="16"/>
      </w:rPr>
    </w:pPr>
  </w:p>
  <w:p w:rsidR="00E2451E" w:rsidRDefault="00E2451E">
    <w:pPr>
      <w:pStyle w:val="Cabealho"/>
      <w:rPr>
        <w:sz w:val="16"/>
      </w:rPr>
    </w:pPr>
  </w:p>
  <w:p w:rsidR="00E2451E" w:rsidRDefault="00E2451E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5C4265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E2451E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5C4265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5C426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19.55pt;height:24.1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B4F58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41F2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265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21B1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451E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9472D-4C33-42F0-B3CA-B4CE7C61C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4551</Words>
  <Characters>24581</Characters>
  <Application>Microsoft Office Word</Application>
  <DocSecurity>0</DocSecurity>
  <Lines>204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7</cp:revision>
  <cp:lastPrinted>2024-03-11T08:53:00Z</cp:lastPrinted>
  <dcterms:created xsi:type="dcterms:W3CDTF">2024-03-11T08:50:00Z</dcterms:created>
  <dcterms:modified xsi:type="dcterms:W3CDTF">2024-03-11T09:23:00Z</dcterms:modified>
</cp:coreProperties>
</file>